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3C1EA2"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it-IT"/>
        </w:rPr>
        <w:t xml:space="preserve">Allegato </w:t>
      </w:r>
      <w:bookmarkEnd w:id="0"/>
      <w:r w:rsidR="003C1EA2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9C1F1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>–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</w:t>
      </w:r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>AZIONE 1.3 “Sostegno per investimenti di fruizione pubblica in infrastrutture ricreative, informazioni turistiche e infrastruttu</w:t>
      </w:r>
      <w:r w:rsidR="00422114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re turistiche di piccola scala” </w:t>
      </w:r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- </w:t>
      </w:r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>INTERVENTO  1.3.3 “Ristrutturazione ed adeguamento di strutture pubbliche dismesse funzionali alla fruizione turistica”.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 </w:t>
      </w:r>
      <w:r w:rsidR="00422114" w:rsidRPr="00422114">
        <w:rPr>
          <w:rFonts w:ascii="Calibri" w:eastAsia="Times New Roman" w:hAnsi="Calibri" w:cs="Arial"/>
          <w:sz w:val="18"/>
          <w:szCs w:val="18"/>
          <w:lang w:eastAsia="it-IT"/>
        </w:rPr>
        <w:t>AZIONE 1.3 “Sostegno per investimenti di fruizione pubblica in infrastrutture ricreative, informazioni turistiche e infrastrutture turistiche di piccola scala” - INTERVENTO  1.3.3 “Ristrutturazione ed adeguamento di strutture pubbliche dismesse funzi</w:t>
      </w:r>
      <w:r w:rsidR="00422114">
        <w:rPr>
          <w:rFonts w:ascii="Calibri" w:eastAsia="Times New Roman" w:hAnsi="Calibri" w:cs="Arial"/>
          <w:sz w:val="18"/>
          <w:szCs w:val="18"/>
          <w:lang w:eastAsia="it-IT"/>
        </w:rPr>
        <w:t>onali alla fruizione turistica”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</w:t>
      </w:r>
      <w:r w:rsidR="00422114">
        <w:rPr>
          <w:rFonts w:ascii="Calibri" w:eastAsia="Times New Roman" w:hAnsi="Calibri" w:cs="Arial"/>
          <w:bCs/>
          <w:sz w:val="18"/>
          <w:szCs w:val="18"/>
          <w:lang w:eastAsia="it-IT"/>
        </w:rPr>
        <w:t>1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per l’elaborazione del computo metrico relativo ad opere edili ed affini sono stati utilizzati prezzi unitari di importo non superiore a quelli riportati </w:t>
      </w:r>
      <w:r w:rsidRPr="00D75B78">
        <w:rPr>
          <w:rFonts w:ascii="Calibri" w:eastAsia="Times New Roman" w:hAnsi="Calibri" w:cs="Arial"/>
          <w:bCs/>
          <w:sz w:val="18"/>
          <w:szCs w:val="18"/>
          <w:lang w:eastAsia="it-IT"/>
        </w:rPr>
        <w:t>Listino prezzi delle Opere Pubbliche della Regione Puglia in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vigore alla data di presentazione della DDS;</w:t>
      </w:r>
      <w:bookmarkStart w:id="1" w:name="_GoBack"/>
      <w:bookmarkEnd w:id="1"/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che le spese generali sono state determinate applicando l’aliquota massima del 12% delle spese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3C1EA2"/>
    <w:rsid w:val="00422114"/>
    <w:rsid w:val="00426A69"/>
    <w:rsid w:val="006F7E16"/>
    <w:rsid w:val="007A4462"/>
    <w:rsid w:val="0081379F"/>
    <w:rsid w:val="009C1F11"/>
    <w:rsid w:val="00B763B9"/>
    <w:rsid w:val="00D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9</cp:revision>
  <dcterms:created xsi:type="dcterms:W3CDTF">2018-07-04T16:08:00Z</dcterms:created>
  <dcterms:modified xsi:type="dcterms:W3CDTF">2019-04-16T11:08:00Z</dcterms:modified>
</cp:coreProperties>
</file>